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2D88" w:rsidRPr="002837BA" w:rsidRDefault="00642D8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>UCHWAŁA Nr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II-00312-136/12</w:t>
      </w:r>
    </w:p>
    <w:p w:rsidR="00642D88" w:rsidRPr="002837BA" w:rsidRDefault="00642D8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837BA">
        <w:rPr>
          <w:rFonts w:ascii="Times New Roman" w:hAnsi="Times New Roman" w:cs="Times New Roman"/>
          <w:b/>
          <w:bCs/>
          <w:sz w:val="24"/>
          <w:szCs w:val="24"/>
        </w:rPr>
        <w:t>Składu Orzekającego Regionalnej Izby Obrachunkowej</w:t>
      </w:r>
    </w:p>
    <w:p w:rsidR="00642D88" w:rsidRPr="002837BA" w:rsidRDefault="00642D88" w:rsidP="005249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Białymstoku z dnia </w:t>
      </w:r>
      <w:r>
        <w:rPr>
          <w:rFonts w:ascii="Times New Roman" w:hAnsi="Times New Roman" w:cs="Times New Roman"/>
          <w:b/>
          <w:bCs/>
          <w:sz w:val="24"/>
          <w:szCs w:val="24"/>
        </w:rPr>
        <w:t>17 lipca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4"/>
          <w:szCs w:val="24"/>
        </w:rPr>
        <w:t>2012</w:t>
      </w:r>
      <w:r w:rsidRPr="002837BA">
        <w:rPr>
          <w:rFonts w:ascii="Times New Roman" w:hAnsi="Times New Roman" w:cs="Times New Roman"/>
          <w:b/>
          <w:bCs/>
          <w:sz w:val="24"/>
          <w:szCs w:val="24"/>
        </w:rPr>
        <w:t xml:space="preserve"> r.</w:t>
      </w:r>
    </w:p>
    <w:p w:rsidR="00642D88" w:rsidRDefault="00642D88" w:rsidP="002837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42D88" w:rsidRDefault="00642D88" w:rsidP="002837B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94451">
        <w:rPr>
          <w:rFonts w:ascii="Times New Roman" w:hAnsi="Times New Roman" w:cs="Times New Roman"/>
          <w:b/>
          <w:bCs/>
          <w:sz w:val="24"/>
          <w:szCs w:val="24"/>
        </w:rPr>
        <w:t>w sprawie wyrażenia opinii o prawidłowości planowanej kwoty długu oraz w sprawie możliwości sfinansowania deficytu budżetowego</w:t>
      </w:r>
      <w:r>
        <w:rPr>
          <w:rFonts w:ascii="Times New Roman" w:hAnsi="Times New Roman" w:cs="Times New Roman"/>
          <w:b/>
          <w:bCs/>
          <w:sz w:val="24"/>
          <w:szCs w:val="24"/>
        </w:rPr>
        <w:t>Gminy Rutki na 2012 rok</w:t>
      </w:r>
    </w:p>
    <w:p w:rsidR="00642D88" w:rsidRDefault="00642D88" w:rsidP="002837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2D88" w:rsidRPr="00E94451" w:rsidRDefault="00642D88" w:rsidP="00B920F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Na podstawie art. 13 pkt 10 i art. 19 ust. 2 ustawy z dnia 7 października 1992 r. o regionalnych izbach obrachunkowych (tekst jedn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94451">
        <w:rPr>
          <w:rFonts w:ascii="Times New Roman" w:hAnsi="Times New Roman" w:cs="Times New Roman"/>
          <w:sz w:val="24"/>
          <w:szCs w:val="24"/>
        </w:rPr>
        <w:t>Dz. U. z 2001 r. Nr 55, poz. 577 z</w:t>
      </w:r>
      <w:r>
        <w:rPr>
          <w:rFonts w:ascii="Times New Roman" w:hAnsi="Times New Roman" w:cs="Times New Roman"/>
          <w:sz w:val="24"/>
          <w:szCs w:val="24"/>
        </w:rPr>
        <w:t xml:space="preserve">późn. </w:t>
      </w:r>
      <w:r w:rsidRPr="00E94451">
        <w:rPr>
          <w:rFonts w:ascii="Times New Roman" w:hAnsi="Times New Roman" w:cs="Times New Roman"/>
          <w:sz w:val="24"/>
          <w:szCs w:val="24"/>
        </w:rPr>
        <w:t>zm.</w:t>
      </w:r>
      <w:r>
        <w:rPr>
          <w:rFonts w:ascii="Times New Roman" w:hAnsi="Times New Roman" w:cs="Times New Roman"/>
          <w:sz w:val="24"/>
          <w:szCs w:val="24"/>
        </w:rPr>
        <w:t>), art. 230 ust. 4,</w:t>
      </w:r>
      <w:r w:rsidRPr="00E94451">
        <w:rPr>
          <w:rFonts w:ascii="Times New Roman" w:hAnsi="Times New Roman" w:cs="Times New Roman"/>
          <w:sz w:val="24"/>
          <w:szCs w:val="24"/>
        </w:rPr>
        <w:t xml:space="preserve"> art. 246 ust. 1 i 3 ustawy z dnia 27 sierpnia 2009 r. o finansach publicznych (Dz. U. Nr 157, poz. 1240 z</w:t>
      </w:r>
      <w:r>
        <w:rPr>
          <w:rFonts w:ascii="Times New Roman" w:hAnsi="Times New Roman" w:cs="Times New Roman"/>
          <w:sz w:val="24"/>
          <w:szCs w:val="24"/>
        </w:rPr>
        <w:t xml:space="preserve">późn. </w:t>
      </w:r>
      <w:r w:rsidRPr="00E94451">
        <w:rPr>
          <w:rFonts w:ascii="Times New Roman" w:hAnsi="Times New Roman" w:cs="Times New Roman"/>
          <w:sz w:val="24"/>
          <w:szCs w:val="24"/>
        </w:rPr>
        <w:t>zm.) oraz Zarządzenia Nr 5/11 z dnia 3 października 2011 r. Prezesa Regionalnej Izby Obrachunkowej w Białymstoku w sprawie wyznaczenia składów orzekających i ich przewodniczących działających w siedzibie RIO w Białymstoku i Zespołach Zamiejscowych w Łomży i Suwałkach</w:t>
      </w: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Skład Orzekający w osobach:</w:t>
      </w: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Marcin Tyniewicki          - przewodniczący</w:t>
      </w: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Katarzyna Gawrońska- członek</w:t>
      </w: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Joanna Salachna             - członek</w:t>
      </w: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D88" w:rsidRDefault="00642D8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opiniuje pozytywnie</w:t>
      </w:r>
    </w:p>
    <w:p w:rsidR="00642D88" w:rsidRDefault="00642D8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2D88" w:rsidRPr="00E23D57" w:rsidRDefault="00642D88" w:rsidP="00CB436A">
      <w:pPr>
        <w:pStyle w:val="BodyText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 w:cs="Times New Roman"/>
          <w:b/>
          <w:bCs/>
          <w:sz w:val="24"/>
          <w:szCs w:val="24"/>
        </w:rPr>
      </w:pPr>
      <w:r w:rsidRPr="00E23D57">
        <w:rPr>
          <w:rFonts w:ascii="Times New Roman" w:hAnsi="Times New Roman" w:cs="Times New Roman"/>
          <w:sz w:val="24"/>
          <w:szCs w:val="24"/>
        </w:rPr>
        <w:t xml:space="preserve">możliwość sfinansowania deficytu budżetowego na 2012 rok ustalonego uchwałą Rady Gminy Rutki Nr 72/XV/12 z dnia 27 czerwca 2012 r. w sprawie zmian w budżecie gminy na rok 2012; </w:t>
      </w:r>
    </w:p>
    <w:p w:rsidR="00642D88" w:rsidRPr="00E23D57" w:rsidRDefault="00642D88" w:rsidP="00CB436A">
      <w:pPr>
        <w:pStyle w:val="BodyText2"/>
        <w:numPr>
          <w:ilvl w:val="0"/>
          <w:numId w:val="5"/>
        </w:numPr>
        <w:tabs>
          <w:tab w:val="clear" w:pos="720"/>
        </w:tabs>
        <w:ind w:left="540"/>
        <w:rPr>
          <w:rFonts w:ascii="Times New Roman" w:hAnsi="Times New Roman" w:cs="Times New Roman"/>
          <w:b/>
          <w:bCs/>
          <w:sz w:val="24"/>
          <w:szCs w:val="24"/>
        </w:rPr>
      </w:pPr>
      <w:r w:rsidRPr="00E23D57">
        <w:rPr>
          <w:rFonts w:ascii="Times New Roman" w:hAnsi="Times New Roman" w:cs="Times New Roman"/>
          <w:sz w:val="24"/>
          <w:szCs w:val="24"/>
        </w:rPr>
        <w:t>prawidłowość planowanej kwoty długu w odniesieniu do ustawowych limitów zadłużenia, wynikającej z zaciągniętych i planowanych zobowiązań, o których mowa w art. 226 ust. 1 pkt 6 ustawy z dnia 27 sierpnia 2009 r. o finansach publicznych (Dz. U. Nr 157, poz. 1240 zpóźn. zm.), ustaloną uchwałą Rady Gminy Rutki Nr 73/XV/12 w sprawie zmiany Wieloletniej Prognozy Finansowej Gminy Rutki na lata 2012-2015.</w:t>
      </w:r>
    </w:p>
    <w:p w:rsidR="00642D88" w:rsidRDefault="00642D8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42D88" w:rsidRDefault="00642D8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  <w:r w:rsidRPr="00DB7DFE">
        <w:rPr>
          <w:rFonts w:ascii="Times New Roman" w:hAnsi="Times New Roman" w:cs="Times New Roman"/>
          <w:b/>
          <w:bCs/>
          <w:spacing w:val="20"/>
          <w:sz w:val="24"/>
          <w:szCs w:val="24"/>
        </w:rPr>
        <w:t>UZASADNIENIE</w:t>
      </w:r>
    </w:p>
    <w:p w:rsidR="00642D88" w:rsidRDefault="00642D88" w:rsidP="00DB7DFE">
      <w:pPr>
        <w:spacing w:after="0" w:line="240" w:lineRule="auto"/>
        <w:jc w:val="center"/>
        <w:rPr>
          <w:rFonts w:ascii="Times New Roman" w:hAnsi="Times New Roman" w:cs="Times New Roman"/>
          <w:b/>
          <w:bCs/>
          <w:spacing w:val="20"/>
          <w:sz w:val="24"/>
          <w:szCs w:val="24"/>
        </w:rPr>
      </w:pPr>
    </w:p>
    <w:p w:rsidR="00642D88" w:rsidRDefault="00642D88" w:rsidP="00A763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B36AC3">
        <w:rPr>
          <w:rFonts w:ascii="Times New Roman" w:hAnsi="Times New Roman" w:cs="Times New Roman"/>
          <w:sz w:val="24"/>
          <w:szCs w:val="24"/>
        </w:rPr>
        <w:t xml:space="preserve">Rada Gminy Rutki uchwałą </w:t>
      </w:r>
      <w:r w:rsidRPr="00B36AC3">
        <w:rPr>
          <w:rFonts w:ascii="Times New Roman" w:hAnsi="Times New Roman" w:cs="Times New Roman"/>
        </w:rPr>
        <w:t>72/XV/12 z dnia 27 czerwca 2012 r. w sprawie zmian w budżecie gminy na rok 2012</w:t>
      </w:r>
      <w:r>
        <w:rPr>
          <w:rFonts w:ascii="Times New Roman" w:hAnsi="Times New Roman" w:cs="Times New Roman"/>
          <w:sz w:val="24"/>
          <w:szCs w:val="24"/>
        </w:rPr>
        <w:t xml:space="preserve"> ustaliła deficyt budżetowy w kwocie 1.499.275 zł. W wyniku dokonanych zmian podstawowe wielkości budżetowe kształtują się następująco:</w:t>
      </w:r>
    </w:p>
    <w:p w:rsidR="00642D88" w:rsidRDefault="00642D88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C218D">
        <w:rPr>
          <w:rFonts w:ascii="Times New Roman" w:hAnsi="Times New Roman" w:cs="Times New Roman"/>
          <w:sz w:val="24"/>
          <w:szCs w:val="24"/>
        </w:rPr>
        <w:t xml:space="preserve">dochody ogółem – </w:t>
      </w:r>
      <w:r>
        <w:rPr>
          <w:rFonts w:ascii="Times New Roman" w:hAnsi="Times New Roman" w:cs="Times New Roman"/>
          <w:sz w:val="24"/>
          <w:szCs w:val="24"/>
        </w:rPr>
        <w:t>14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287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490 zł, w tym: dochody bieżące – 14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080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340 zł, dochody majątkowe – 207</w:t>
      </w:r>
      <w:r w:rsidRPr="00DC218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150</w:t>
      </w:r>
      <w:r w:rsidRPr="00DC218D">
        <w:rPr>
          <w:rFonts w:ascii="Times New Roman" w:hAnsi="Times New Roman" w:cs="Times New Roman"/>
          <w:sz w:val="24"/>
          <w:szCs w:val="24"/>
        </w:rPr>
        <w:t xml:space="preserve"> zł;</w:t>
      </w:r>
    </w:p>
    <w:p w:rsidR="00642D88" w:rsidRDefault="00642D88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wydatki ogółem – 15.786.765 zł, w tym: wydatki bieżące: 13.678.453 zł, wydatki majątkowe – 2.108.312 zł;</w:t>
      </w:r>
    </w:p>
    <w:p w:rsidR="00642D88" w:rsidRDefault="00642D88" w:rsidP="00DC218D">
      <w:pPr>
        <w:pStyle w:val="ListParagraph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planowany deficyt budżetowy – 1.499.275 zł.</w:t>
      </w:r>
    </w:p>
    <w:p w:rsidR="00642D88" w:rsidRDefault="00642D88" w:rsidP="00A44498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Zgodnie z § 2 ust. 3 ww. uchwały deficyt zostanie sfinansowany przychodami pochodzącymi z:</w:t>
      </w:r>
    </w:p>
    <w:p w:rsidR="00642D88" w:rsidRDefault="00642D88" w:rsidP="00084D20">
      <w:pPr>
        <w:pStyle w:val="ListParagraph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kredytów długoterminowych w wys. 300.000 zł,</w:t>
      </w:r>
    </w:p>
    <w:p w:rsidR="00642D88" w:rsidRDefault="00642D88" w:rsidP="00084D20">
      <w:pPr>
        <w:pStyle w:val="ListParagraph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nadwyżki budżetowej w wys. 69.980 zł,</w:t>
      </w:r>
    </w:p>
    <w:p w:rsidR="00642D88" w:rsidRDefault="00642D88" w:rsidP="00084D20">
      <w:pPr>
        <w:pStyle w:val="ListParagraph"/>
        <w:numPr>
          <w:ilvl w:val="0"/>
          <w:numId w:val="6"/>
        </w:num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pożyczek na wyprzedzające finansowanie zadań realizowanych z udziałem środków pochodzących z budżetu Unii Europejskiej w wys. 1.129.295 </w:t>
      </w:r>
      <w:r w:rsidRPr="000D3D85">
        <w:rPr>
          <w:rFonts w:ascii="Times New Roman" w:hAnsi="Times New Roman" w:cs="Times New Roman"/>
          <w:sz w:val="24"/>
          <w:szCs w:val="24"/>
        </w:rPr>
        <w:t>zł.</w:t>
      </w:r>
    </w:p>
    <w:p w:rsidR="00642D88" w:rsidRDefault="00642D88" w:rsidP="00A44498">
      <w:pPr>
        <w:pStyle w:val="ListParagraph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Wskazane źródła pokrycia deficytu są zgodne z art. 217 ust. 2 pkt 2, 3 i 5 w zw. z art. 89 ust. 1 pkt 2 i 4 ustawy z dnia 27 sierpnia 2009 r. o finansach publicznych (Dz. U. Nr 157, poz. 1240 zpóźn. zm., dalej powoływana jako u.f.p.).</w:t>
      </w:r>
    </w:p>
    <w:p w:rsidR="00642D88" w:rsidRPr="00E94451" w:rsidRDefault="00642D88" w:rsidP="00076B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Pr="00E94451">
        <w:rPr>
          <w:rFonts w:ascii="Times New Roman" w:hAnsi="Times New Roman" w:cs="Times New Roman"/>
          <w:sz w:val="24"/>
          <w:szCs w:val="24"/>
        </w:rPr>
        <w:t>redyt</w:t>
      </w:r>
      <w:r>
        <w:rPr>
          <w:rFonts w:ascii="Times New Roman" w:hAnsi="Times New Roman" w:cs="Times New Roman"/>
          <w:sz w:val="24"/>
          <w:szCs w:val="24"/>
        </w:rPr>
        <w:t>y i pożyczki zaciągane</w:t>
      </w:r>
      <w:r w:rsidRPr="00E94451">
        <w:rPr>
          <w:rFonts w:ascii="Times New Roman" w:hAnsi="Times New Roman" w:cs="Times New Roman"/>
          <w:sz w:val="24"/>
          <w:szCs w:val="24"/>
        </w:rPr>
        <w:t xml:space="preserve"> celem sfinansowania planowanego deficytu budżetowe</w:t>
      </w:r>
      <w:r>
        <w:rPr>
          <w:rFonts w:ascii="Times New Roman" w:hAnsi="Times New Roman" w:cs="Times New Roman"/>
          <w:sz w:val="24"/>
          <w:szCs w:val="24"/>
        </w:rPr>
        <w:t>go</w:t>
      </w:r>
      <w:r w:rsidRPr="00E94451">
        <w:rPr>
          <w:rFonts w:ascii="Times New Roman" w:hAnsi="Times New Roman" w:cs="Times New Roman"/>
          <w:sz w:val="24"/>
          <w:szCs w:val="24"/>
        </w:rPr>
        <w:t xml:space="preserve"> będ</w:t>
      </w:r>
      <w:r>
        <w:rPr>
          <w:rFonts w:ascii="Times New Roman" w:hAnsi="Times New Roman" w:cs="Times New Roman"/>
          <w:sz w:val="24"/>
          <w:szCs w:val="24"/>
        </w:rPr>
        <w:t xml:space="preserve">ą </w:t>
      </w:r>
      <w:r w:rsidRPr="00E94451">
        <w:rPr>
          <w:rFonts w:ascii="Times New Roman" w:hAnsi="Times New Roman" w:cs="Times New Roman"/>
          <w:sz w:val="24"/>
          <w:szCs w:val="24"/>
        </w:rPr>
        <w:t>miał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E94451">
        <w:rPr>
          <w:rFonts w:ascii="Times New Roman" w:hAnsi="Times New Roman" w:cs="Times New Roman"/>
          <w:sz w:val="24"/>
          <w:szCs w:val="24"/>
        </w:rPr>
        <w:t xml:space="preserve"> wpływ na wysokość długu </w:t>
      </w:r>
      <w:r>
        <w:rPr>
          <w:rFonts w:ascii="Times New Roman" w:hAnsi="Times New Roman" w:cs="Times New Roman"/>
          <w:sz w:val="24"/>
          <w:szCs w:val="24"/>
        </w:rPr>
        <w:t>gminy</w:t>
      </w:r>
      <w:r w:rsidRPr="00E94451">
        <w:rPr>
          <w:rFonts w:ascii="Times New Roman" w:hAnsi="Times New Roman" w:cs="Times New Roman"/>
          <w:sz w:val="24"/>
          <w:szCs w:val="24"/>
        </w:rPr>
        <w:t>. Na podstawie zmienionej uchwałą Rady</w:t>
      </w:r>
      <w:r>
        <w:rPr>
          <w:rFonts w:ascii="Times New Roman" w:hAnsi="Times New Roman" w:cs="Times New Roman"/>
          <w:sz w:val="24"/>
          <w:szCs w:val="24"/>
        </w:rPr>
        <w:t xml:space="preserve"> Gminy Rutki</w:t>
      </w:r>
      <w:r w:rsidRPr="00687897">
        <w:rPr>
          <w:rFonts w:ascii="Times New Roman" w:hAnsi="Times New Roman" w:cs="Times New Roman"/>
        </w:rPr>
        <w:t>Nr 73/XV/12 w sprawie zmiany Wieloletniej Prognozy Finansowej Gminy Rutki na lata 2012-2015</w:t>
      </w:r>
      <w:r w:rsidRPr="00E94451">
        <w:rPr>
          <w:rFonts w:ascii="Times New Roman" w:hAnsi="Times New Roman" w:cs="Times New Roman"/>
          <w:sz w:val="24"/>
          <w:szCs w:val="24"/>
        </w:rPr>
        <w:t>, ustawowe wskaźniki zadłużenia przedstawiają się następująco.</w:t>
      </w:r>
    </w:p>
    <w:p w:rsidR="00642D88" w:rsidRPr="00E94451" w:rsidRDefault="00642D88" w:rsidP="00076B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Przewidziane na lata 2012 i 2013 wskaźniki globalnego zadłużenia oraz spłaty rat kredytów i pożyczek wraz z odsetkami, o których mowa w art. 169 i 170 ustawy z dnia 30 czerwca 2005 r. o finansach publicznych (Dz. U. Nr 249, poz. 2104 z</w:t>
      </w:r>
      <w:r>
        <w:rPr>
          <w:rFonts w:ascii="Times New Roman" w:hAnsi="Times New Roman" w:cs="Times New Roman"/>
          <w:sz w:val="24"/>
          <w:szCs w:val="24"/>
        </w:rPr>
        <w:t xml:space="preserve">późn. </w:t>
      </w:r>
      <w:r w:rsidRPr="00E94451">
        <w:rPr>
          <w:rFonts w:ascii="Times New Roman" w:hAnsi="Times New Roman" w:cs="Times New Roman"/>
          <w:sz w:val="24"/>
          <w:szCs w:val="24"/>
        </w:rPr>
        <w:t>zm.) w zw. z art. 121 ust. 8 ustawy z dnia 27 sierpnia 2009 r. - Przepisy wprowadzające ustawę o finansach publicznych (Dz. U. Nr 157, poz. 1241 z</w:t>
      </w:r>
      <w:r>
        <w:rPr>
          <w:rFonts w:ascii="Times New Roman" w:hAnsi="Times New Roman" w:cs="Times New Roman"/>
          <w:sz w:val="24"/>
          <w:szCs w:val="24"/>
        </w:rPr>
        <w:t xml:space="preserve">późn. </w:t>
      </w:r>
      <w:r w:rsidRPr="00E94451">
        <w:rPr>
          <w:rFonts w:ascii="Times New Roman" w:hAnsi="Times New Roman" w:cs="Times New Roman"/>
          <w:sz w:val="24"/>
          <w:szCs w:val="24"/>
        </w:rPr>
        <w:t>zm.) nie przekraczają ustawowych limitów.</w:t>
      </w:r>
    </w:p>
    <w:p w:rsidR="00642D88" w:rsidRDefault="00642D88" w:rsidP="00076B5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>Z kolei prognozowane zadłużenie w okresie 2014-20</w:t>
      </w:r>
      <w:r>
        <w:rPr>
          <w:rFonts w:ascii="Times New Roman" w:hAnsi="Times New Roman" w:cs="Times New Roman"/>
          <w:sz w:val="24"/>
          <w:szCs w:val="24"/>
        </w:rPr>
        <w:t>15</w:t>
      </w:r>
      <w:r w:rsidRPr="00E94451">
        <w:rPr>
          <w:rFonts w:ascii="Times New Roman" w:hAnsi="Times New Roman" w:cs="Times New Roman"/>
          <w:sz w:val="24"/>
          <w:szCs w:val="24"/>
        </w:rPr>
        <w:t xml:space="preserve"> nie spowoduje przekroczenia dopuszczalnego wskaźnika spłat zobowiązań, o którym mowa w art. 243 u.f.p., obowiązującego począwszy od uchwał budżetowych podejmowanych na rok 2014 i lata następne.</w:t>
      </w:r>
    </w:p>
    <w:p w:rsidR="00642D88" w:rsidRPr="00E94451" w:rsidRDefault="00642D88" w:rsidP="00076B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4451">
        <w:rPr>
          <w:rFonts w:ascii="Times New Roman" w:hAnsi="Times New Roman" w:cs="Times New Roman"/>
          <w:sz w:val="24"/>
          <w:szCs w:val="24"/>
        </w:rPr>
        <w:t xml:space="preserve">Biorąc powyższe pod uwagę Skład Orzekający wydał opinię </w:t>
      </w:r>
      <w:r w:rsidRPr="00E94451">
        <w:rPr>
          <w:rFonts w:ascii="Times New Roman" w:hAnsi="Times New Roman" w:cs="Times New Roman"/>
          <w:b/>
          <w:bCs/>
          <w:sz w:val="24"/>
          <w:szCs w:val="24"/>
        </w:rPr>
        <w:t>pozytywną</w:t>
      </w:r>
      <w:r w:rsidRPr="00E94451">
        <w:rPr>
          <w:rFonts w:ascii="Times New Roman" w:hAnsi="Times New Roman" w:cs="Times New Roman"/>
          <w:sz w:val="24"/>
          <w:szCs w:val="24"/>
        </w:rPr>
        <w:t xml:space="preserve"> w zakresie możliwości sfinansowania deficytu budżetowego uchwalonego na 2012 r. oraz prawidłowoś</w:t>
      </w:r>
      <w:r>
        <w:rPr>
          <w:rFonts w:ascii="Times New Roman" w:hAnsi="Times New Roman" w:cs="Times New Roman"/>
          <w:sz w:val="24"/>
          <w:szCs w:val="24"/>
        </w:rPr>
        <w:t>ci</w:t>
      </w:r>
      <w:r w:rsidRPr="00E94451">
        <w:rPr>
          <w:rFonts w:ascii="Times New Roman" w:hAnsi="Times New Roman" w:cs="Times New Roman"/>
          <w:sz w:val="24"/>
          <w:szCs w:val="24"/>
        </w:rPr>
        <w:t xml:space="preserve"> planowanej kwoty długu </w:t>
      </w:r>
      <w:r>
        <w:rPr>
          <w:rFonts w:ascii="Times New Roman" w:hAnsi="Times New Roman" w:cs="Times New Roman"/>
          <w:sz w:val="24"/>
          <w:szCs w:val="24"/>
        </w:rPr>
        <w:t>Gminy Rutki.</w:t>
      </w: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42D88" w:rsidRDefault="00642D88" w:rsidP="0052497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POUCZENIE</w:t>
      </w:r>
    </w:p>
    <w:p w:rsidR="00642D88" w:rsidRDefault="00642D88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 opinii wyrażonej w niniejszej uchwale służy prawo do wniesienia odwołania do pełnego składu Kolegium Regionalnej Izby Obrachunkowej w Białymstoku w terminie 14 dni od daty jej otrzymania.</w:t>
      </w:r>
    </w:p>
    <w:p w:rsidR="00642D88" w:rsidRDefault="00642D88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2D88" w:rsidRDefault="00642D88" w:rsidP="0052497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42D88" w:rsidRDefault="00642D88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Przewodniczący Składu Orzekającego</w:t>
      </w:r>
    </w:p>
    <w:p w:rsidR="00642D88" w:rsidRDefault="00642D88" w:rsidP="00853EA1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/-/</w:t>
      </w:r>
    </w:p>
    <w:p w:rsidR="00642D88" w:rsidRPr="003B04F7" w:rsidRDefault="00642D88" w:rsidP="00524972">
      <w:pPr>
        <w:spacing w:after="0" w:line="240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Marcin Tyniewicki</w:t>
      </w:r>
    </w:p>
    <w:p w:rsidR="00642D88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p w:rsidR="00642D88" w:rsidRPr="00DB7DFE" w:rsidRDefault="00642D88" w:rsidP="00DB7DFE">
      <w:pPr>
        <w:spacing w:after="0" w:line="240" w:lineRule="auto"/>
        <w:jc w:val="both"/>
        <w:rPr>
          <w:rFonts w:ascii="Times New Roman" w:hAnsi="Times New Roman" w:cs="Times New Roman"/>
          <w:spacing w:val="20"/>
          <w:sz w:val="24"/>
          <w:szCs w:val="24"/>
        </w:rPr>
      </w:pPr>
    </w:p>
    <w:sectPr w:rsidR="00642D88" w:rsidRPr="00DB7DFE" w:rsidSect="001A153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42D88" w:rsidRDefault="00642D88" w:rsidP="002837BA">
      <w:pPr>
        <w:spacing w:after="0" w:line="240" w:lineRule="auto"/>
      </w:pPr>
      <w:r>
        <w:separator/>
      </w:r>
    </w:p>
  </w:endnote>
  <w:endnote w:type="continuationSeparator" w:id="1">
    <w:p w:rsidR="00642D88" w:rsidRDefault="00642D88" w:rsidP="002837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42D88" w:rsidRDefault="00642D88" w:rsidP="002837BA">
      <w:pPr>
        <w:spacing w:after="0" w:line="240" w:lineRule="auto"/>
      </w:pPr>
      <w:r>
        <w:separator/>
      </w:r>
    </w:p>
  </w:footnote>
  <w:footnote w:type="continuationSeparator" w:id="1">
    <w:p w:rsidR="00642D88" w:rsidRDefault="00642D88" w:rsidP="002837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1014A8"/>
    <w:multiLevelType w:val="hybridMultilevel"/>
    <w:tmpl w:val="445A9C04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DDA317F"/>
    <w:multiLevelType w:val="hybridMultilevel"/>
    <w:tmpl w:val="468CE2CA"/>
    <w:lvl w:ilvl="0" w:tplc="C0CA88D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15810A1"/>
    <w:multiLevelType w:val="hybridMultilevel"/>
    <w:tmpl w:val="159659D2"/>
    <w:lvl w:ilvl="0" w:tplc="30A0C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2D11772"/>
    <w:multiLevelType w:val="hybridMultilevel"/>
    <w:tmpl w:val="43C8CEF0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lowerLetter"/>
      <w:lvlText w:val="%2."/>
      <w:lvlJc w:val="left"/>
      <w:pPr>
        <w:ind w:left="2007" w:hanging="360"/>
      </w:pPr>
    </w:lvl>
    <w:lvl w:ilvl="2" w:tplc="0415001B">
      <w:start w:val="1"/>
      <w:numFmt w:val="lowerRoman"/>
      <w:lvlText w:val="%3."/>
      <w:lvlJc w:val="right"/>
      <w:pPr>
        <w:ind w:left="2727" w:hanging="180"/>
      </w:pPr>
    </w:lvl>
    <w:lvl w:ilvl="3" w:tplc="0415000F">
      <w:start w:val="1"/>
      <w:numFmt w:val="decimal"/>
      <w:lvlText w:val="%4."/>
      <w:lvlJc w:val="left"/>
      <w:pPr>
        <w:ind w:left="3447" w:hanging="360"/>
      </w:pPr>
    </w:lvl>
    <w:lvl w:ilvl="4" w:tplc="04150019">
      <w:start w:val="1"/>
      <w:numFmt w:val="lowerLetter"/>
      <w:lvlText w:val="%5."/>
      <w:lvlJc w:val="left"/>
      <w:pPr>
        <w:ind w:left="4167" w:hanging="360"/>
      </w:pPr>
    </w:lvl>
    <w:lvl w:ilvl="5" w:tplc="0415001B">
      <w:start w:val="1"/>
      <w:numFmt w:val="lowerRoman"/>
      <w:lvlText w:val="%6."/>
      <w:lvlJc w:val="right"/>
      <w:pPr>
        <w:ind w:left="4887" w:hanging="180"/>
      </w:pPr>
    </w:lvl>
    <w:lvl w:ilvl="6" w:tplc="0415000F">
      <w:start w:val="1"/>
      <w:numFmt w:val="decimal"/>
      <w:lvlText w:val="%7."/>
      <w:lvlJc w:val="left"/>
      <w:pPr>
        <w:ind w:left="5607" w:hanging="360"/>
      </w:pPr>
    </w:lvl>
    <w:lvl w:ilvl="7" w:tplc="04150019">
      <w:start w:val="1"/>
      <w:numFmt w:val="lowerLetter"/>
      <w:lvlText w:val="%8."/>
      <w:lvlJc w:val="left"/>
      <w:pPr>
        <w:ind w:left="6327" w:hanging="360"/>
      </w:pPr>
    </w:lvl>
    <w:lvl w:ilvl="8" w:tplc="0415001B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4665452A"/>
    <w:multiLevelType w:val="hybridMultilevel"/>
    <w:tmpl w:val="D4A65DB8"/>
    <w:lvl w:ilvl="0" w:tplc="6546B09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4D493D7A"/>
    <w:multiLevelType w:val="hybridMultilevel"/>
    <w:tmpl w:val="66E832F0"/>
    <w:lvl w:ilvl="0" w:tplc="A9BAE22C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6">
    <w:nsid w:val="629A0641"/>
    <w:multiLevelType w:val="hybridMultilevel"/>
    <w:tmpl w:val="BF326D06"/>
    <w:lvl w:ilvl="0" w:tplc="D91494F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837BA"/>
    <w:rsid w:val="00076B5C"/>
    <w:rsid w:val="00084D20"/>
    <w:rsid w:val="000A771D"/>
    <w:rsid w:val="000D2C65"/>
    <w:rsid w:val="000D3D85"/>
    <w:rsid w:val="001311A0"/>
    <w:rsid w:val="00171B87"/>
    <w:rsid w:val="001A1538"/>
    <w:rsid w:val="002420C3"/>
    <w:rsid w:val="002837BA"/>
    <w:rsid w:val="002E0CC2"/>
    <w:rsid w:val="002E28C1"/>
    <w:rsid w:val="002F22FF"/>
    <w:rsid w:val="0033653F"/>
    <w:rsid w:val="003371C4"/>
    <w:rsid w:val="003B04F7"/>
    <w:rsid w:val="003C2006"/>
    <w:rsid w:val="003F7502"/>
    <w:rsid w:val="004B1A80"/>
    <w:rsid w:val="004E7A59"/>
    <w:rsid w:val="00524972"/>
    <w:rsid w:val="005728D1"/>
    <w:rsid w:val="005E21F9"/>
    <w:rsid w:val="00642D88"/>
    <w:rsid w:val="00643893"/>
    <w:rsid w:val="00647427"/>
    <w:rsid w:val="00657317"/>
    <w:rsid w:val="006844F8"/>
    <w:rsid w:val="00686A3F"/>
    <w:rsid w:val="00687897"/>
    <w:rsid w:val="00695506"/>
    <w:rsid w:val="006C44EB"/>
    <w:rsid w:val="007972E6"/>
    <w:rsid w:val="007D28E2"/>
    <w:rsid w:val="007E4DB7"/>
    <w:rsid w:val="00853EA1"/>
    <w:rsid w:val="008941C3"/>
    <w:rsid w:val="008F0BA7"/>
    <w:rsid w:val="00901D02"/>
    <w:rsid w:val="009274E3"/>
    <w:rsid w:val="009C1BA5"/>
    <w:rsid w:val="00A44498"/>
    <w:rsid w:val="00A61CD2"/>
    <w:rsid w:val="00A76370"/>
    <w:rsid w:val="00A85615"/>
    <w:rsid w:val="00B200F7"/>
    <w:rsid w:val="00B36AC3"/>
    <w:rsid w:val="00B45282"/>
    <w:rsid w:val="00B920F4"/>
    <w:rsid w:val="00C15A30"/>
    <w:rsid w:val="00C3746E"/>
    <w:rsid w:val="00C71B31"/>
    <w:rsid w:val="00CB436A"/>
    <w:rsid w:val="00CD7399"/>
    <w:rsid w:val="00D139B9"/>
    <w:rsid w:val="00DB7DFE"/>
    <w:rsid w:val="00DC218D"/>
    <w:rsid w:val="00E1652E"/>
    <w:rsid w:val="00E23D57"/>
    <w:rsid w:val="00E91A6A"/>
    <w:rsid w:val="00E92E17"/>
    <w:rsid w:val="00E94451"/>
    <w:rsid w:val="00F53B51"/>
    <w:rsid w:val="00F62D30"/>
    <w:rsid w:val="00FA39C9"/>
    <w:rsid w:val="00FA799F"/>
    <w:rsid w:val="00FC2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538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uiPriority w:val="99"/>
    <w:semiHidden/>
    <w:rsid w:val="002837BA"/>
    <w:pPr>
      <w:spacing w:after="0" w:line="240" w:lineRule="auto"/>
    </w:pPr>
    <w:rPr>
      <w:sz w:val="20"/>
      <w:szCs w:val="20"/>
      <w:lang w:eastAsia="pl-PL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2837BA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2837BA"/>
    <w:rPr>
      <w:vertAlign w:val="superscript"/>
    </w:rPr>
  </w:style>
  <w:style w:type="paragraph" w:styleId="ListParagraph">
    <w:name w:val="List Paragraph"/>
    <w:basedOn w:val="Normal"/>
    <w:uiPriority w:val="99"/>
    <w:qFormat/>
    <w:rsid w:val="00DC218D"/>
    <w:pPr>
      <w:ind w:left="720"/>
    </w:pPr>
  </w:style>
  <w:style w:type="character" w:customStyle="1" w:styleId="BodyText2Char">
    <w:name w:val="Body Text 2 Char"/>
    <w:uiPriority w:val="99"/>
    <w:locked/>
    <w:rsid w:val="00CB436A"/>
    <w:rPr>
      <w:rFonts w:ascii="Calibri" w:hAnsi="Calibri" w:cs="Calibri"/>
      <w:b/>
      <w:bCs/>
      <w:sz w:val="24"/>
      <w:szCs w:val="24"/>
      <w:lang w:val="pl-PL" w:eastAsia="pl-PL"/>
    </w:rPr>
  </w:style>
  <w:style w:type="paragraph" w:styleId="BodyText2">
    <w:name w:val="Body Text 2"/>
    <w:basedOn w:val="Normal"/>
    <w:link w:val="BodyText2Char1"/>
    <w:uiPriority w:val="99"/>
    <w:rsid w:val="00CB436A"/>
    <w:pPr>
      <w:spacing w:after="0" w:line="240" w:lineRule="auto"/>
      <w:jc w:val="both"/>
    </w:pPr>
    <w:rPr>
      <w:sz w:val="20"/>
      <w:szCs w:val="20"/>
    </w:rPr>
  </w:style>
  <w:style w:type="character" w:customStyle="1" w:styleId="BodyText2Char1">
    <w:name w:val="Body Text 2 Char1"/>
    <w:basedOn w:val="DefaultParagraphFont"/>
    <w:link w:val="BodyText2"/>
    <w:uiPriority w:val="99"/>
    <w:semiHidden/>
    <w:locked/>
    <w:rsid w:val="00901D02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231</TotalTime>
  <Pages>2</Pages>
  <Words>590</Words>
  <Characters>3540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RIO Bialystok</cp:lastModifiedBy>
  <cp:revision>23</cp:revision>
  <cp:lastPrinted>2012-07-17T12:03:00Z</cp:lastPrinted>
  <dcterms:created xsi:type="dcterms:W3CDTF">2011-11-24T13:45:00Z</dcterms:created>
  <dcterms:modified xsi:type="dcterms:W3CDTF">2012-08-20T11:45:00Z</dcterms:modified>
</cp:coreProperties>
</file>